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C3F4F" w14:textId="77777777" w:rsidR="000805F3" w:rsidRPr="003D7F07" w:rsidRDefault="000805F3" w:rsidP="00C11BD5">
      <w:pPr>
        <w:spacing w:before="0" w:after="0" w:line="360" w:lineRule="auto"/>
        <w:ind w:right="-79" w:firstLine="902"/>
        <w:jc w:val="center"/>
        <w:rPr>
          <w:b/>
        </w:rPr>
      </w:pPr>
      <w:r w:rsidRPr="003D7F07">
        <w:rPr>
          <w:b/>
        </w:rPr>
        <w:t>COMUNICAZIONE OBBLIGATORIA DELL’ASSENZA DI CAUSE DI INCONFERIBILITA’ E DI INCOMPATIBILITA’ ai sensi del d.lgs. n.39/2013</w:t>
      </w:r>
    </w:p>
    <w:p w14:paraId="3C259EC7" w14:textId="77777777" w:rsidR="000805F3" w:rsidRPr="003D7F07" w:rsidRDefault="000805F3" w:rsidP="00C11BD5">
      <w:pPr>
        <w:spacing w:before="0" w:after="0" w:line="360" w:lineRule="auto"/>
        <w:ind w:right="-79" w:firstLine="902"/>
        <w:jc w:val="center"/>
        <w:rPr>
          <w:b/>
        </w:rPr>
      </w:pPr>
    </w:p>
    <w:p w14:paraId="0A491369" w14:textId="58E6EA05" w:rsidR="000805F3" w:rsidRPr="003D7F07" w:rsidRDefault="00C8390F" w:rsidP="00C11BD5">
      <w:pPr>
        <w:spacing w:before="0" w:after="0" w:line="360" w:lineRule="auto"/>
        <w:ind w:right="-79"/>
        <w:rPr>
          <w:rFonts w:ascii="Times New Roman" w:hAnsi="Times New Roman"/>
          <w:b/>
          <w:bCs/>
          <w:sz w:val="24"/>
        </w:rPr>
      </w:pPr>
      <w:r>
        <w:rPr>
          <w:rFonts w:ascii="Book Antiqua" w:hAnsi="Book Antiqua" w:cs="Book Antiqua"/>
          <w:sz w:val="20"/>
          <w:szCs w:val="20"/>
        </w:rPr>
        <w:t>La sottoscritta</w:t>
      </w:r>
      <w:r w:rsidR="000805F3" w:rsidRPr="003D7F07">
        <w:rPr>
          <w:rFonts w:ascii="Book Antiqua" w:hAnsi="Book Antiqua" w:cs="Book Antiqua"/>
          <w:sz w:val="20"/>
          <w:szCs w:val="20"/>
        </w:rPr>
        <w:t xml:space="preserve"> </w:t>
      </w:r>
      <w:r w:rsidR="008B55CD">
        <w:rPr>
          <w:rFonts w:ascii="Book Antiqua" w:hAnsi="Book Antiqua" w:cs="Book Antiqua"/>
          <w:b/>
          <w:sz w:val="20"/>
          <w:szCs w:val="20"/>
        </w:rPr>
        <w:t>Stefania</w:t>
      </w:r>
      <w:r w:rsidR="004474A7">
        <w:rPr>
          <w:rFonts w:ascii="Book Antiqua" w:hAnsi="Book Antiqua" w:cs="Book Antiqua"/>
          <w:b/>
          <w:sz w:val="20"/>
          <w:szCs w:val="20"/>
        </w:rPr>
        <w:t xml:space="preserve"> Isabella</w:t>
      </w:r>
      <w:r w:rsidR="008B55CD">
        <w:rPr>
          <w:rFonts w:ascii="Book Antiqua" w:hAnsi="Book Antiqua" w:cs="Book Antiqua"/>
          <w:b/>
          <w:sz w:val="20"/>
          <w:szCs w:val="20"/>
        </w:rPr>
        <w:t xml:space="preserve"> Lanza</w:t>
      </w:r>
    </w:p>
    <w:p w14:paraId="307A51D3" w14:textId="658E719D" w:rsidR="000805F3" w:rsidRPr="003D7F07" w:rsidRDefault="000805F3" w:rsidP="00C11BD5">
      <w:pPr>
        <w:spacing w:before="0" w:after="0" w:line="360" w:lineRule="auto"/>
        <w:rPr>
          <w:rFonts w:ascii="Times New Roman" w:hAnsi="Times New Roman"/>
          <w:b/>
          <w:bCs/>
          <w:sz w:val="24"/>
        </w:rPr>
      </w:pPr>
      <w:r w:rsidRPr="003D7F07">
        <w:rPr>
          <w:rFonts w:ascii="Book Antiqua" w:hAnsi="Book Antiqua" w:cs="Book Antiqua"/>
          <w:sz w:val="20"/>
          <w:szCs w:val="20"/>
        </w:rPr>
        <w:t>ai fini dell’attribuzione dell’incarico di</w:t>
      </w:r>
      <w:proofErr w:type="gramStart"/>
      <w:r w:rsidRPr="003D7F07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 xml:space="preserve">   </w:t>
      </w:r>
      <w:proofErr w:type="gramEnd"/>
      <w:r w:rsidR="008B55CD">
        <w:rPr>
          <w:rFonts w:ascii="Times New Roman" w:hAnsi="Times New Roman"/>
          <w:b/>
          <w:bCs/>
          <w:sz w:val="24"/>
        </w:rPr>
        <w:t>Consigliera e Vicepresidente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5FA1EBB5" w14:textId="77777777" w:rsidR="000805F3" w:rsidRPr="003D7F07" w:rsidRDefault="000805F3" w:rsidP="00C11BD5">
      <w:pPr>
        <w:spacing w:before="0" w:after="0" w:line="360" w:lineRule="auto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AVVALENDOMI</w:t>
      </w:r>
    </w:p>
    <w:p w14:paraId="61DC79B6" w14:textId="77777777" w:rsidR="000805F3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 xml:space="preserve">delle disposizioni di cui al D.P.R. n. 445/2000 e </w:t>
      </w:r>
      <w:proofErr w:type="spellStart"/>
      <w:r w:rsidRPr="003D7F07">
        <w:rPr>
          <w:rFonts w:ascii="Book Antiqua" w:hAnsi="Book Antiqua" w:cs="Book Antiqua"/>
          <w:sz w:val="20"/>
          <w:szCs w:val="20"/>
        </w:rPr>
        <w:t>s.m.i.</w:t>
      </w:r>
      <w:proofErr w:type="spellEnd"/>
    </w:p>
    <w:p w14:paraId="37E2AF3C" w14:textId="77777777" w:rsidR="00C11BD5" w:rsidRPr="003D7F07" w:rsidRDefault="00C11BD5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</w:p>
    <w:p w14:paraId="623617BA" w14:textId="77777777" w:rsidR="000805F3" w:rsidRPr="003D7F07" w:rsidRDefault="000805F3" w:rsidP="00C11B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360" w:lineRule="auto"/>
        <w:ind w:left="3960" w:right="3878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CONSAPEVOLE</w:t>
      </w:r>
    </w:p>
    <w:p w14:paraId="0E694FF7" w14:textId="77777777" w:rsidR="00C11BD5" w:rsidRDefault="00C11BD5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</w:p>
    <w:p w14:paraId="503927E4" w14:textId="77777777" w:rsidR="000805F3" w:rsidRPr="003D7F07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>delle sanzioni previste dall’art. 76 della richiamata normativa per le ipotesi di falsità in atti e dichiarazioni mendaci nonché delle conseguenze di cui all’art. 75, comma 1, del medesimo D.P.R. e di cui all’art. 20, comma 5, del d.lgs. n. 39/2013, sotto la mia personale responsabilità ai fini di quanto previsto dal d.lgs. n 39/2013, consapevole anche della nullità degli incarichi conferiti in violazione delle disposizioni del d.lgs. n. 39/2013</w:t>
      </w:r>
    </w:p>
    <w:p w14:paraId="3BBC3031" w14:textId="77777777" w:rsidR="000805F3" w:rsidRPr="003D7F07" w:rsidRDefault="000805F3" w:rsidP="00C11BD5">
      <w:pPr>
        <w:spacing w:before="0" w:after="0" w:line="360" w:lineRule="auto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D I C H I A R O</w:t>
      </w:r>
    </w:p>
    <w:p w14:paraId="3D91A3E3" w14:textId="77777777" w:rsidR="000805F3" w:rsidRPr="003D7F07" w:rsidRDefault="000805F3" w:rsidP="00C11BD5">
      <w:pPr>
        <w:spacing w:before="0" w:after="0" w:line="360" w:lineRule="auto"/>
        <w:rPr>
          <w:rFonts w:ascii="Book Antiqua" w:hAnsi="Book Antiqua" w:cs="Book Antiqua"/>
          <w:b/>
          <w:sz w:val="20"/>
          <w:szCs w:val="20"/>
        </w:rPr>
      </w:pPr>
      <w:r>
        <w:rPr>
          <w:rFonts w:ascii="Book Antiqua" w:hAnsi="Book Antiqua" w:cs="Book Antiqua"/>
          <w:b/>
          <w:sz w:val="20"/>
          <w:szCs w:val="20"/>
        </w:rPr>
        <w:t>con la presente l’</w:t>
      </w:r>
      <w:r w:rsidRPr="003D7F07">
        <w:rPr>
          <w:rFonts w:ascii="Book Antiqua" w:hAnsi="Book Antiqua" w:cs="Book Antiqua"/>
          <w:b/>
          <w:sz w:val="20"/>
          <w:szCs w:val="20"/>
        </w:rPr>
        <w:t>assenza di cause di inconferibilità e di incompatibilità previste dal d.lgs. n. 39/2013</w:t>
      </w:r>
    </w:p>
    <w:p w14:paraId="17491E5F" w14:textId="77777777" w:rsidR="000805F3" w:rsidRPr="003D7F07" w:rsidRDefault="000805F3" w:rsidP="00C11BD5">
      <w:pPr>
        <w:numPr>
          <w:ilvl w:val="0"/>
          <w:numId w:val="17"/>
        </w:numPr>
        <w:autoSpaceDN/>
        <w:spacing w:before="0" w:after="0" w:line="360" w:lineRule="auto"/>
        <w:ind w:left="357" w:hanging="357"/>
        <w:textAlignment w:val="auto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Cause di inconferibilità</w:t>
      </w:r>
    </w:p>
    <w:bookmarkStart w:id="0" w:name="__Fieldmark__8_895837906"/>
    <w:bookmarkEnd w:id="0"/>
    <w:p w14:paraId="6B1EF35B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ontrollo14"/>
      <w:r>
        <w:instrText xml:space="preserve"> FORMCHECKBOX </w:instrText>
      </w:r>
      <w:r>
        <w:fldChar w:fldCharType="end"/>
      </w:r>
      <w:bookmarkEnd w:id="1"/>
      <w:r>
        <w:rPr>
          <w:rFonts w:ascii="Book Antiqua" w:hAnsi="Book Antiqua" w:cs="Book Antiqua"/>
          <w:sz w:val="20"/>
          <w:szCs w:val="20"/>
        </w:rPr>
        <w:t>di non essere stato/a condannato/a</w:t>
      </w:r>
      <w:r w:rsidRPr="003D7F07">
        <w:rPr>
          <w:rFonts w:ascii="Book Antiqua" w:hAnsi="Book Antiqua" w:cs="Book Antiqua"/>
          <w:sz w:val="20"/>
          <w:szCs w:val="20"/>
        </w:rPr>
        <w:t xml:space="preserve">, anche con sentenza non passata in giudicato, per i reati previsti nel capo I del titolo II del libro secondo del codice penale, riepilogati nella </w:t>
      </w:r>
      <w:r w:rsidRPr="00BA1C7A">
        <w:rPr>
          <w:rFonts w:cs="Book Antiqua"/>
          <w:b/>
          <w:i/>
          <w:sz w:val="20"/>
          <w:szCs w:val="20"/>
        </w:rPr>
        <w:t>NOTA 1</w:t>
      </w:r>
      <w:r w:rsidRPr="003D7F07">
        <w:rPr>
          <w:rFonts w:ascii="Book Antiqua" w:hAnsi="Book Antiqua" w:cs="Book Antiqua"/>
          <w:sz w:val="20"/>
          <w:szCs w:val="20"/>
        </w:rPr>
        <w:t xml:space="preserve"> (art. 3, comma 1 lettera c), del d.lgs. n 39/2013)</w:t>
      </w:r>
    </w:p>
    <w:p w14:paraId="1D6AE9E4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 w:rsidRPr="003D7F07"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D7F07">
        <w:instrText>FORMCHECKBOX</w:instrText>
      </w:r>
      <w:r w:rsidRPr="003D7F07">
        <w:fldChar w:fldCharType="end"/>
      </w:r>
      <w:bookmarkStart w:id="2" w:name="__Fieldmark__9_895837906"/>
      <w:bookmarkEnd w:id="2"/>
      <w:r w:rsidRPr="003D7F07">
        <w:rPr>
          <w:rFonts w:ascii="Book Antiqua" w:hAnsi="Book Antiqua" w:cs="Book Antiqua"/>
          <w:sz w:val="20"/>
          <w:szCs w:val="20"/>
        </w:rPr>
        <w:t xml:space="preserve">di essere stato/a condannato/a, anche con sentenza non passata in giudicato, per i reati previsti nel capo I del titolo II del libro secondo del codice penale, riepilogati nella </w:t>
      </w:r>
      <w:r w:rsidRPr="00BA1C7A">
        <w:rPr>
          <w:rFonts w:cs="Book Antiqua"/>
          <w:b/>
          <w:i/>
          <w:sz w:val="20"/>
          <w:szCs w:val="20"/>
        </w:rPr>
        <w:t>NOTA 1</w:t>
      </w:r>
      <w:r w:rsidRPr="003D7F07">
        <w:rPr>
          <w:rFonts w:ascii="Book Antiqua" w:hAnsi="Book Antiqua" w:cs="Book Antiqua"/>
          <w:sz w:val="20"/>
          <w:szCs w:val="20"/>
        </w:rPr>
        <w:t xml:space="preserve"> (art. 3, comma 1 lettera c), del d.lgs. n 39/2013)</w:t>
      </w:r>
    </w:p>
    <w:p w14:paraId="299B7ECF" w14:textId="77777777" w:rsidR="000805F3" w:rsidRPr="003D7F07" w:rsidRDefault="000805F3" w:rsidP="00C11BD5">
      <w:pPr>
        <w:numPr>
          <w:ilvl w:val="0"/>
          <w:numId w:val="18"/>
        </w:numPr>
        <w:autoSpaceDN/>
        <w:spacing w:before="0" w:after="0" w:line="360" w:lineRule="auto"/>
        <w:ind w:left="357" w:hanging="357"/>
        <w:textAlignment w:val="auto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 xml:space="preserve">Cause di incompatibilità </w:t>
      </w:r>
    </w:p>
    <w:bookmarkStart w:id="3" w:name="__Fieldmark__10_895837906"/>
    <w:bookmarkEnd w:id="3"/>
    <w:p w14:paraId="4D5CA0C4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Pr="003D7F07">
        <w:rPr>
          <w:rFonts w:ascii="Times New Roman" w:hAnsi="Times New Roman"/>
        </w:rPr>
        <w:t xml:space="preserve"> </w:t>
      </w:r>
      <w:r w:rsidRPr="003D7F07">
        <w:rPr>
          <w:rFonts w:ascii="Book Antiqua" w:hAnsi="Book Antiqua" w:cs="Book Antiqua"/>
          <w:sz w:val="20"/>
          <w:szCs w:val="20"/>
        </w:rPr>
        <w:t>di essere consapevole che l’incarico attribuito è incompatibile con le situazioni previste:</w:t>
      </w:r>
    </w:p>
    <w:p w14:paraId="759069AC" w14:textId="77777777" w:rsidR="000805F3" w:rsidRPr="003D7F07" w:rsidRDefault="000805F3" w:rsidP="00C11BD5">
      <w:pPr>
        <w:numPr>
          <w:ilvl w:val="0"/>
          <w:numId w:val="16"/>
        </w:numPr>
        <w:autoSpaceDN/>
        <w:spacing w:before="0" w:after="0" w:line="360" w:lineRule="auto"/>
        <w:ind w:left="697" w:firstLine="23"/>
        <w:textAlignment w:val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>dall’art. 9, commi 1 e 2 del d.lgs. n. 39/2013</w:t>
      </w:r>
    </w:p>
    <w:p w14:paraId="4032EFF5" w14:textId="77777777" w:rsidR="000805F3" w:rsidRPr="003D7F07" w:rsidRDefault="000805F3" w:rsidP="00C11BD5">
      <w:pPr>
        <w:numPr>
          <w:ilvl w:val="0"/>
          <w:numId w:val="16"/>
        </w:numPr>
        <w:autoSpaceDN/>
        <w:spacing w:before="0" w:after="0" w:line="360" w:lineRule="auto"/>
        <w:ind w:left="697" w:firstLine="23"/>
        <w:textAlignment w:val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 xml:space="preserve">dall’art. 12, commi 1, 2 e 3 del d.lgs. n. 39/2013 </w:t>
      </w:r>
    </w:p>
    <w:p w14:paraId="7D2C693C" w14:textId="77777777" w:rsidR="000805F3" w:rsidRDefault="000805F3" w:rsidP="00C11BD5">
      <w:pPr>
        <w:spacing w:before="0" w:after="0" w:line="360" w:lineRule="auto"/>
        <w:ind w:left="720"/>
        <w:rPr>
          <w:rFonts w:cs="Book Antiqua"/>
          <w:b/>
          <w:i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 xml:space="preserve">riepilogati nella </w:t>
      </w:r>
      <w:r w:rsidRPr="00BA1C7A">
        <w:rPr>
          <w:rFonts w:cs="Book Antiqua"/>
          <w:b/>
          <w:i/>
          <w:sz w:val="20"/>
          <w:szCs w:val="20"/>
        </w:rPr>
        <w:t>NOTA 2</w:t>
      </w:r>
    </w:p>
    <w:p w14:paraId="2BCE1DD5" w14:textId="77777777" w:rsidR="000805F3" w:rsidRPr="00922F57" w:rsidRDefault="000805F3" w:rsidP="00C11BD5">
      <w:pPr>
        <w:widowControl w:val="0"/>
        <w:tabs>
          <w:tab w:val="left" w:pos="220"/>
          <w:tab w:val="left" w:pos="720"/>
        </w:tabs>
        <w:autoSpaceDE w:val="0"/>
        <w:adjustRightInd w:val="0"/>
        <w:spacing w:before="0" w:after="0" w:line="360" w:lineRule="auto"/>
        <w:rPr>
          <w:rFonts w:ascii="Book Antiqua" w:eastAsia="Calibri" w:hAnsi="Book Antiqua" w:cs="Times Roman"/>
          <w:color w:val="000000"/>
          <w:sz w:val="20"/>
          <w:szCs w:val="20"/>
        </w:rPr>
      </w:pPr>
      <w:r>
        <w:t xml:space="preserve">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Pr="003D7F07">
        <w:rPr>
          <w:rFonts w:ascii="Times New Roman" w:hAnsi="Times New Roman"/>
        </w:rPr>
        <w:t xml:space="preserve"> </w:t>
      </w:r>
      <w:r>
        <w:rPr>
          <w:rFonts w:ascii="Book Antiqua" w:eastAsia="Calibri" w:hAnsi="Book Antiqua" w:cs="Calibri"/>
          <w:color w:val="000000"/>
          <w:sz w:val="20"/>
          <w:szCs w:val="20"/>
        </w:rPr>
        <w:t>d</w:t>
      </w:r>
      <w:r w:rsidRPr="00922F57">
        <w:rPr>
          <w:rFonts w:ascii="Book Antiqua" w:eastAsia="Calibri" w:hAnsi="Book Antiqua" w:cs="Calibri"/>
          <w:color w:val="000000"/>
          <w:sz w:val="20"/>
          <w:szCs w:val="20"/>
        </w:rPr>
        <w:t xml:space="preserve">i impegnarsi a comunicare tempestivamente ogni eventuale mutamento della situazione dichiarata </w:t>
      </w:r>
      <w:r w:rsidRPr="00922F57">
        <w:rPr>
          <w:rFonts w:ascii="Book Antiqua" w:eastAsia="Calibri" w:hAnsi="Book Antiqua" w:cs="Times Roman"/>
          <w:color w:val="000000"/>
          <w:sz w:val="20"/>
          <w:szCs w:val="20"/>
        </w:rPr>
        <w:t> </w:t>
      </w:r>
      <w:r w:rsidRPr="00922F57">
        <w:rPr>
          <w:rFonts w:ascii="Book Antiqua" w:eastAsia="Calibri" w:hAnsi="Book Antiqua" w:cs="Calibri"/>
          <w:color w:val="000000"/>
          <w:sz w:val="20"/>
          <w:szCs w:val="20"/>
        </w:rPr>
        <w:t xml:space="preserve">e a rinnovare annualmente la dichiarazione relativa all’insussistenza di cause di incompatibilità. </w:t>
      </w:r>
    </w:p>
    <w:p w14:paraId="4E903D29" w14:textId="77777777" w:rsidR="000805F3" w:rsidRDefault="000805F3" w:rsidP="00C11BD5">
      <w:pPr>
        <w:spacing w:before="0" w:after="0" w:line="360" w:lineRule="auto"/>
        <w:rPr>
          <w:rFonts w:ascii="Square721 BT;Tahoma" w:hAnsi="Square721 BT;Tahoma" w:cs="Square721 BT;Tahoma"/>
          <w:b/>
          <w:i/>
          <w:sz w:val="18"/>
        </w:rPr>
      </w:pPr>
    </w:p>
    <w:p w14:paraId="0E872065" w14:textId="65FC1F0A" w:rsidR="000805F3" w:rsidRDefault="000805F3" w:rsidP="00C11BD5">
      <w:pPr>
        <w:spacing w:before="0" w:after="0" w:line="360" w:lineRule="auto"/>
        <w:rPr>
          <w:rFonts w:ascii="Square721 BT;Tahoma" w:hAnsi="Square721 BT;Tahoma" w:cs="Square721 BT;Tahoma"/>
          <w:b/>
          <w:i/>
          <w:sz w:val="18"/>
        </w:rPr>
      </w:pPr>
      <w:r w:rsidRPr="003D7F07">
        <w:rPr>
          <w:rFonts w:ascii="Square721 BT;Tahoma" w:hAnsi="Square721 BT;Tahoma" w:cs="Square721 BT;Tahoma"/>
          <w:b/>
          <w:i/>
          <w:sz w:val="18"/>
        </w:rPr>
        <w:t>Verona,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77B16">
        <w:rPr>
          <w:rFonts w:ascii="Times New Roman" w:hAnsi="Times New Roman"/>
          <w:b/>
          <w:bCs/>
          <w:sz w:val="20"/>
          <w:szCs w:val="20"/>
        </w:rPr>
        <w:t>2</w:t>
      </w:r>
      <w:r w:rsidR="00845225">
        <w:rPr>
          <w:rFonts w:ascii="Times New Roman" w:hAnsi="Times New Roman"/>
          <w:b/>
          <w:bCs/>
          <w:sz w:val="20"/>
          <w:szCs w:val="20"/>
        </w:rPr>
        <w:t>3</w:t>
      </w:r>
      <w:r w:rsidR="004474A7">
        <w:rPr>
          <w:rFonts w:ascii="Times New Roman" w:hAnsi="Times New Roman"/>
          <w:b/>
          <w:bCs/>
          <w:sz w:val="20"/>
          <w:szCs w:val="20"/>
        </w:rPr>
        <w:t xml:space="preserve"> g</w:t>
      </w:r>
      <w:r w:rsidR="00177B16">
        <w:rPr>
          <w:rFonts w:ascii="Times New Roman" w:hAnsi="Times New Roman"/>
          <w:b/>
          <w:bCs/>
          <w:sz w:val="20"/>
          <w:szCs w:val="20"/>
        </w:rPr>
        <w:t>ennaio 2026</w:t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  <w:t>La</w:t>
      </w:r>
      <w:r w:rsidRPr="003D7F07">
        <w:rPr>
          <w:rFonts w:ascii="Square721 BT;Tahoma" w:hAnsi="Square721 BT;Tahoma" w:cs="Square721 BT;Tahoma"/>
          <w:b/>
          <w:i/>
          <w:sz w:val="18"/>
        </w:rPr>
        <w:t xml:space="preserve"> Dichiarante</w:t>
      </w:r>
    </w:p>
    <w:p w14:paraId="20980233" w14:textId="0774820C" w:rsidR="000805F3" w:rsidRPr="000805F3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 w:rsidR="004674FA">
        <w:rPr>
          <w:rFonts w:ascii="Square721 BT;Tahoma" w:hAnsi="Square721 BT;Tahoma" w:cs="Square721 BT;Tahoma"/>
          <w:b/>
          <w:i/>
          <w:sz w:val="18"/>
        </w:rPr>
        <w:t>Stefania</w:t>
      </w:r>
      <w:r w:rsidR="004474A7">
        <w:rPr>
          <w:rFonts w:ascii="Square721 BT;Tahoma" w:hAnsi="Square721 BT;Tahoma" w:cs="Square721 BT;Tahoma"/>
          <w:b/>
          <w:i/>
          <w:sz w:val="18"/>
        </w:rPr>
        <w:t xml:space="preserve"> Isabella</w:t>
      </w:r>
      <w:r w:rsidR="004674FA">
        <w:rPr>
          <w:rFonts w:ascii="Square721 BT;Tahoma" w:hAnsi="Square721 BT;Tahoma" w:cs="Square721 BT;Tahoma"/>
          <w:b/>
          <w:i/>
          <w:sz w:val="18"/>
        </w:rPr>
        <w:t xml:space="preserve"> Lanza</w:t>
      </w:r>
    </w:p>
    <w:p w14:paraId="23256E31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792D6EEC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5F055CC7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6E010326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1588" w:tblpY="-3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18"/>
        <w:gridCol w:w="8264"/>
      </w:tblGrid>
      <w:tr w:rsidR="00C11BD5" w:rsidRPr="003D7F07" w14:paraId="5AA08A93" w14:textId="77777777" w:rsidTr="009D21AE"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D2BF69C" w14:textId="77777777" w:rsidR="00C11BD5" w:rsidRPr="003D7F07" w:rsidRDefault="00C11BD5" w:rsidP="00C11BD5">
            <w:pPr>
              <w:spacing w:before="0" w:after="0" w:line="240" w:lineRule="auto"/>
              <w:jc w:val="center"/>
              <w:rPr>
                <w:rFonts w:cs="Georgia"/>
                <w:b/>
                <w:sz w:val="24"/>
                <w:szCs w:val="24"/>
              </w:rPr>
            </w:pPr>
            <w:r w:rsidRPr="003D7F07">
              <w:rPr>
                <w:rFonts w:cs="Georgia"/>
                <w:b/>
                <w:sz w:val="24"/>
                <w:szCs w:val="24"/>
              </w:rPr>
              <w:t>NOTA 1</w:t>
            </w:r>
          </w:p>
        </w:tc>
      </w:tr>
      <w:tr w:rsidR="00C11BD5" w:rsidRPr="003D7F07" w14:paraId="04FD4873" w14:textId="77777777" w:rsidTr="009D21AE"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BF1035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314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819131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</w:t>
            </w:r>
          </w:p>
        </w:tc>
      </w:tr>
      <w:tr w:rsidR="00C11BD5" w:rsidRPr="003D7F07" w14:paraId="3467C04F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3D10C0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316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5C6BDB0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 mediante profitto dell’errore altrui</w:t>
            </w:r>
          </w:p>
        </w:tc>
      </w:tr>
      <w:tr w:rsidR="00C11BD5" w:rsidRPr="003D7F07" w14:paraId="56450437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B49797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316 bis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CC5406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Malversazione a danno dello stato</w:t>
            </w:r>
          </w:p>
        </w:tc>
      </w:tr>
      <w:tr w:rsidR="00C11BD5" w:rsidRPr="003D7F07" w14:paraId="6E5396A0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0BF866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316 ter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E94D24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Indebita percezione di erogazioni a danno dello stato</w:t>
            </w:r>
          </w:p>
        </w:tc>
      </w:tr>
      <w:tr w:rsidR="00C11BD5" w:rsidRPr="003D7F07" w14:paraId="2757CD28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7C6781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317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33FA6094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Concussione</w:t>
            </w:r>
          </w:p>
        </w:tc>
      </w:tr>
      <w:tr w:rsidR="00C11BD5" w:rsidRPr="003D7F07" w14:paraId="645C420D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E6644A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318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463D12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per un atto d’ufficio</w:t>
            </w:r>
          </w:p>
        </w:tc>
      </w:tr>
      <w:tr w:rsidR="00C11BD5" w:rsidRPr="003D7F07" w14:paraId="0F809FDD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25EC7FC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319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92AF18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Corruzione per un atto contrario ai doveri d’ufficio </w:t>
            </w:r>
          </w:p>
        </w:tc>
      </w:tr>
      <w:tr w:rsidR="00C11BD5" w:rsidRPr="003D7F07" w14:paraId="4E627F8A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4819044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319 ter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0988564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in atti giudiziari</w:t>
            </w:r>
          </w:p>
        </w:tc>
      </w:tr>
      <w:tr w:rsidR="00C11BD5" w:rsidRPr="003D7F07" w14:paraId="6A243325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33C3AF3E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320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526BCC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di persona incaricata di pubblico servizio</w:t>
            </w:r>
          </w:p>
        </w:tc>
      </w:tr>
      <w:tr w:rsidR="00C11BD5" w:rsidRPr="003D7F07" w14:paraId="649FD2F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09CAF62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322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4A52C6C2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Istigazione alla corruzione</w:t>
            </w:r>
          </w:p>
        </w:tc>
      </w:tr>
      <w:tr w:rsidR="00C11BD5" w:rsidRPr="003D7F07" w14:paraId="29681350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26D73C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322 bis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BFF3A30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Peculato, concussione, corruzione e istigazione alla corruzione di membri degli organi della Comunità Europea e di Stati Esteri</w:t>
            </w:r>
          </w:p>
        </w:tc>
      </w:tr>
      <w:tr w:rsidR="00C11BD5" w:rsidRPr="003D7F07" w14:paraId="3AF49B05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8B9AFA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323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2694F12A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Abuso d’ufficio</w:t>
            </w:r>
          </w:p>
        </w:tc>
      </w:tr>
      <w:tr w:rsidR="00C11BD5" w:rsidRPr="003D7F07" w14:paraId="26E2BFA3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4EBE29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325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860712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Utilizzazioni di invenzioni o scoperte conosciute per ragioni di ufficio</w:t>
            </w:r>
          </w:p>
        </w:tc>
      </w:tr>
      <w:tr w:rsidR="00C11BD5" w:rsidRPr="003D7F07" w14:paraId="1C728D1E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3DEA67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326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FA4B2F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Rivelazione ed utilizzazione di segreti d’ufficio</w:t>
            </w:r>
          </w:p>
        </w:tc>
      </w:tr>
      <w:tr w:rsidR="00C11BD5" w:rsidRPr="003D7F07" w14:paraId="55FF8A5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719C743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328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A23444A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Rifiuto di atti d’ufficio - Omissione</w:t>
            </w:r>
          </w:p>
        </w:tc>
      </w:tr>
      <w:tr w:rsidR="00C11BD5" w:rsidRPr="003D7F07" w14:paraId="2468B3D7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476B4C6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329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A5EDD9C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Rifiuti o ritardo di obbedienza commesso da un militare o da un agente di pubblica sicurezza </w:t>
            </w:r>
          </w:p>
        </w:tc>
      </w:tr>
      <w:tr w:rsidR="00C11BD5" w:rsidRPr="003D7F07" w14:paraId="0B3537F2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FC816D8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331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1A21513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Interruzione di un servizio pubblico o di pubblica necessità</w:t>
            </w:r>
          </w:p>
        </w:tc>
      </w:tr>
      <w:tr w:rsidR="00C11BD5" w:rsidRPr="003D7F07" w14:paraId="773973A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3B002A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334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2627BEF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Sottrazione o danneggiamento di cose sottoposte a sequestro disposto nel corso di un procedimento penale o dall’autorità amministrativa </w:t>
            </w:r>
          </w:p>
        </w:tc>
      </w:tr>
      <w:tr w:rsidR="00C11BD5" w:rsidRPr="003D7F07" w14:paraId="4FEA623A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7217138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335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7A55FD7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Violazione colposa di doveri inerenti alla custodia di cose sottoposte a sequestro disposto nel corso di un procedimento penale o dall’autorità amministrativa </w:t>
            </w:r>
          </w:p>
        </w:tc>
      </w:tr>
      <w:tr w:rsidR="00C11BD5" w:rsidRPr="003D7F07" w14:paraId="0B0B19E4" w14:textId="77777777" w:rsidTr="009D21AE"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14:paraId="6DC71F5D" w14:textId="77777777" w:rsidR="00C11BD5" w:rsidRPr="003D7F07" w:rsidRDefault="00C11BD5" w:rsidP="00C11BD5">
            <w:pPr>
              <w:spacing w:before="0" w:after="0" w:line="240" w:lineRule="auto"/>
              <w:jc w:val="center"/>
              <w:rPr>
                <w:rFonts w:cs="Georgia"/>
                <w:b/>
                <w:sz w:val="24"/>
                <w:szCs w:val="24"/>
              </w:rPr>
            </w:pPr>
            <w:r w:rsidRPr="003D7F07">
              <w:rPr>
                <w:rFonts w:cs="Georgia"/>
                <w:b/>
                <w:sz w:val="24"/>
                <w:szCs w:val="24"/>
              </w:rPr>
              <w:t>NOTA 2</w:t>
            </w:r>
          </w:p>
        </w:tc>
      </w:tr>
      <w:tr w:rsidR="00C11BD5" w:rsidRPr="003D7F07" w14:paraId="6F028C80" w14:textId="77777777" w:rsidTr="009D21AE">
        <w:trPr>
          <w:trHeight w:val="6905"/>
        </w:trPr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93" w:type="dxa"/>
            </w:tcMar>
          </w:tcPr>
          <w:p w14:paraId="73E2CD25" w14:textId="102528AE" w:rsidR="00C11BD5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20"/>
                <w:szCs w:val="20"/>
              </w:rPr>
            </w:pPr>
            <w:proofErr w:type="spellStart"/>
            <w:r w:rsidRPr="003D7F07">
              <w:rPr>
                <w:rFonts w:ascii="Georgia" w:hAnsi="Georgia" w:cs="Georgia"/>
                <w:b/>
                <w:sz w:val="20"/>
                <w:szCs w:val="20"/>
              </w:rPr>
              <w:t>D.Lgs.</w:t>
            </w:r>
            <w:proofErr w:type="spellEnd"/>
            <w:r w:rsidRPr="003D7F07">
              <w:rPr>
                <w:rFonts w:ascii="Georgia" w:hAnsi="Georgia" w:cs="Georgia"/>
                <w:b/>
                <w:sz w:val="20"/>
                <w:szCs w:val="20"/>
              </w:rPr>
              <w:t xml:space="preserve"> n. 39/2013</w:t>
            </w:r>
          </w:p>
          <w:p w14:paraId="2A64863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20"/>
                <w:szCs w:val="20"/>
              </w:rPr>
            </w:pPr>
          </w:p>
          <w:p w14:paraId="5EE4EE9D" w14:textId="77777777" w:rsidR="00C11BD5" w:rsidRPr="003D7F07" w:rsidRDefault="00C11BD5" w:rsidP="00C11BD5">
            <w:pPr>
              <w:numPr>
                <w:ilvl w:val="0"/>
                <w:numId w:val="21"/>
              </w:numPr>
              <w:autoSpaceDN/>
              <w:spacing w:before="0" w:after="0" w:line="180" w:lineRule="exact"/>
              <w:ind w:left="357" w:hanging="357"/>
              <w:textAlignment w:val="auto"/>
              <w:rPr>
                <w:rFonts w:ascii="Georgia" w:hAnsi="Georgia" w:cs="Georgia"/>
                <w:b/>
                <w:sz w:val="20"/>
                <w:szCs w:val="20"/>
              </w:rPr>
            </w:pPr>
            <w:r w:rsidRPr="003D7F07">
              <w:rPr>
                <w:rFonts w:ascii="Georgia" w:hAnsi="Georgia" w:cs="Georgia"/>
                <w:b/>
                <w:sz w:val="20"/>
                <w:szCs w:val="20"/>
              </w:rPr>
              <w:t>Cause di inconferibilità</w:t>
            </w:r>
          </w:p>
          <w:p w14:paraId="0FA2E5B7" w14:textId="77777777" w:rsidR="00C11BD5" w:rsidRPr="003D7F07" w:rsidRDefault="00C11BD5" w:rsidP="00E31FF2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 xml:space="preserve">Art. 3, comma </w:t>
            </w:r>
            <w:proofErr w:type="gramStart"/>
            <w:r w:rsidRPr="003D7F07">
              <w:rPr>
                <w:rFonts w:ascii="Georgia" w:hAnsi="Georgia" w:cs="Georgia"/>
                <w:b/>
                <w:sz w:val="14"/>
                <w:szCs w:val="14"/>
              </w:rPr>
              <w:t>1</w:t>
            </w:r>
            <w:proofErr w:type="gramEnd"/>
            <w:r w:rsidRPr="003D7F07">
              <w:rPr>
                <w:rFonts w:ascii="Georgia" w:hAnsi="Georgia" w:cs="Georgia"/>
                <w:b/>
                <w:sz w:val="14"/>
                <w:szCs w:val="14"/>
              </w:rPr>
              <w:t xml:space="preserve"> lettera c)</w:t>
            </w:r>
          </w:p>
          <w:p w14:paraId="77534770" w14:textId="77777777" w:rsidR="00C11BD5" w:rsidRPr="003D7F07" w:rsidRDefault="00C11BD5" w:rsidP="00C11BD5">
            <w:pPr>
              <w:spacing w:before="0" w:after="0" w:line="180" w:lineRule="exact"/>
              <w:ind w:left="333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 xml:space="preserve">A </w:t>
            </w:r>
            <w:proofErr w:type="gramStart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>coloro che siano</w:t>
            </w:r>
            <w:proofErr w:type="gramEnd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 xml:space="preserve"> stati condannati, anche con sentenza non passata in giudicato, per uno dei reati previsti dal capo I del titolo II del libro secondo del codice penale, non possono essere attribuiti…omissis….c)  gli incarichi dirigenziali, interni e esterni, comunque denominati, nelle pubbliche amministrazioni, negli enti pubblici e negli enti di diritto privato in controllo pubblico di livello nazionale, regionale e locale;</w:t>
            </w:r>
          </w:p>
          <w:p w14:paraId="50E88919" w14:textId="77777777" w:rsidR="00C11BD5" w:rsidRPr="003D7F07" w:rsidRDefault="00C11BD5" w:rsidP="00C11BD5">
            <w:pPr>
              <w:pStyle w:val="Paragrafoelenco"/>
              <w:spacing w:before="0" w:after="0" w:line="180" w:lineRule="exact"/>
              <w:ind w:left="717"/>
              <w:rPr>
                <w:rFonts w:ascii="Georgia" w:hAnsi="Georgia" w:cs="Georgia"/>
                <w:i/>
                <w:sz w:val="14"/>
                <w:szCs w:val="14"/>
              </w:rPr>
            </w:pPr>
          </w:p>
          <w:p w14:paraId="03E07634" w14:textId="77777777" w:rsidR="00C11BD5" w:rsidRPr="003D7F07" w:rsidRDefault="00C11BD5" w:rsidP="00C11BD5">
            <w:pPr>
              <w:numPr>
                <w:ilvl w:val="0"/>
                <w:numId w:val="19"/>
              </w:numPr>
              <w:autoSpaceDN/>
              <w:spacing w:before="0" w:after="0" w:line="180" w:lineRule="exact"/>
              <w:ind w:left="340" w:hanging="340"/>
              <w:textAlignment w:val="auto"/>
              <w:rPr>
                <w:rFonts w:ascii="Georgia" w:hAnsi="Georgia" w:cs="Georgia"/>
                <w:b/>
                <w:sz w:val="20"/>
                <w:szCs w:val="20"/>
              </w:rPr>
            </w:pPr>
            <w:r w:rsidRPr="003D7F07">
              <w:rPr>
                <w:rFonts w:ascii="Georgia" w:hAnsi="Georgia" w:cs="Georgia"/>
                <w:b/>
                <w:sz w:val="20"/>
                <w:szCs w:val="20"/>
              </w:rPr>
              <w:t>Cause di incompatibilità</w:t>
            </w:r>
          </w:p>
          <w:p w14:paraId="55234E81" w14:textId="77777777" w:rsidR="00C11BD5" w:rsidRPr="003D7F07" w:rsidRDefault="00C11BD5" w:rsidP="00E31FF2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 xml:space="preserve">Art. 9, comma </w:t>
            </w:r>
            <w:proofErr w:type="gramStart"/>
            <w:r w:rsidRPr="003D7F07">
              <w:rPr>
                <w:rFonts w:ascii="Georgia" w:hAnsi="Georgia" w:cs="Georgia"/>
                <w:b/>
                <w:sz w:val="14"/>
                <w:szCs w:val="14"/>
              </w:rPr>
              <w:t>1</w:t>
            </w:r>
            <w:proofErr w:type="gramEnd"/>
          </w:p>
          <w:p w14:paraId="46878BBF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1.</w:t>
            </w:r>
            <w:proofErr w:type="gramStart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 xml:space="preserve">  </w:t>
            </w:r>
            <w:proofErr w:type="gramEnd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>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      </w:r>
          </w:p>
          <w:p w14:paraId="5908F2E8" w14:textId="77777777" w:rsidR="00C11BD5" w:rsidRPr="003D7F07" w:rsidRDefault="00C11BD5" w:rsidP="00E31FF2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 xml:space="preserve">Art. 9, comma </w:t>
            </w:r>
            <w:proofErr w:type="gramStart"/>
            <w:r w:rsidRPr="003D7F07">
              <w:rPr>
                <w:rFonts w:ascii="Georgia" w:hAnsi="Georgia" w:cs="Georgia"/>
                <w:b/>
                <w:sz w:val="14"/>
                <w:szCs w:val="14"/>
              </w:rPr>
              <w:t>2</w:t>
            </w:r>
            <w:proofErr w:type="gramEnd"/>
          </w:p>
          <w:p w14:paraId="475B83ED" w14:textId="77777777" w:rsidR="00C11BD5" w:rsidRPr="003D7F07" w:rsidRDefault="00C11BD5" w:rsidP="00C11BD5">
            <w:pPr>
              <w:spacing w:before="0" w:after="0" w:line="180" w:lineRule="exact"/>
              <w:ind w:left="360"/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2. Gli incarichi amministrativi di vertice e gli incarichi dirigenziali, comunque denominati, nelle pubbliche amministrazioni, gli incarichi di amministratore negli enti pubblici e di presidente e amministratore delegato negli enti di diritto privato in controllo pubblico</w:t>
            </w:r>
            <w:proofErr w:type="gramStart"/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 xml:space="preserve">  </w:t>
            </w:r>
            <w:proofErr w:type="gramEnd"/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sono incompatibili con lo svolgimento in proprio, da parte del soggetto incaricato,  di una attività professionale, se questa è regolata, finanziata o comunque retribuita dall’amministrazione o ente che conferisce l’incarico.</w:t>
            </w:r>
          </w:p>
          <w:p w14:paraId="1CE0E62E" w14:textId="77777777" w:rsidR="00C11BD5" w:rsidRPr="003D7F07" w:rsidRDefault="00C11BD5" w:rsidP="00E31FF2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 xml:space="preserve">Art. 12, comma </w:t>
            </w:r>
            <w:proofErr w:type="gramStart"/>
            <w:r w:rsidRPr="003D7F07">
              <w:rPr>
                <w:rFonts w:ascii="Georgia" w:hAnsi="Georgia" w:cs="Georgia"/>
                <w:b/>
                <w:sz w:val="14"/>
                <w:szCs w:val="14"/>
              </w:rPr>
              <w:t>1</w:t>
            </w:r>
            <w:proofErr w:type="gramEnd"/>
          </w:p>
          <w:p w14:paraId="7AEB2655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1.</w:t>
            </w:r>
            <w:proofErr w:type="gramStart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 xml:space="preserve">  </w:t>
            </w:r>
            <w:proofErr w:type="gramEnd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>Gli incarichi dirigenziali, interni e esterni, nelle pubbliche amministrazioni,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l'incarico.</w:t>
            </w:r>
          </w:p>
          <w:p w14:paraId="2A2A90DA" w14:textId="77777777" w:rsidR="00C11BD5" w:rsidRPr="003D7F07" w:rsidRDefault="00C11BD5" w:rsidP="00E31FF2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 xml:space="preserve">Art. 12, comma </w:t>
            </w:r>
            <w:proofErr w:type="gramStart"/>
            <w:r w:rsidRPr="003D7F07">
              <w:rPr>
                <w:rFonts w:ascii="Georgia" w:hAnsi="Georgia" w:cs="Georgia"/>
                <w:b/>
                <w:sz w:val="14"/>
                <w:szCs w:val="14"/>
              </w:rPr>
              <w:t>2</w:t>
            </w:r>
            <w:proofErr w:type="gramEnd"/>
          </w:p>
          <w:p w14:paraId="3E03CC58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2.</w:t>
            </w: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  Gli incarichi dirigenziali, interni e esterni, nelle pubbliche amministrazioni, negli enti pubblici e negli enti di diritto privato in controllo pubblico di livello nazionale, regionale e locale sono incompatibili con l'assunzione, nel corso dell'incarico, della carica di Presidente del Consiglio dei Ministri, Ministro, Vice Ministro, sottosegretario di Stato e commissario straordinario del Governo di cui all'</w:t>
            </w:r>
            <w:hyperlink r:id="rId9">
              <w:r w:rsidRPr="003D7F07">
                <w:rPr>
                  <w:rStyle w:val="linkneltesto"/>
                  <w:rFonts w:ascii="Georgia" w:hAnsi="Georgia" w:cs="Georgia"/>
                  <w:i/>
                  <w:iCs/>
                  <w:sz w:val="14"/>
                  <w:szCs w:val="14"/>
                </w:rPr>
                <w:t>articolo 11 della legge 23 agosto 1988, n. 400</w:t>
              </w:r>
            </w:hyperlink>
            <w:r w:rsidRPr="003D7F07">
              <w:rPr>
                <w:rFonts w:ascii="Georgia" w:hAnsi="Georgia" w:cs="Georgia"/>
                <w:i/>
                <w:sz w:val="14"/>
                <w:szCs w:val="14"/>
              </w:rPr>
              <w:t>, o di parlamentare.</w:t>
            </w:r>
          </w:p>
          <w:p w14:paraId="32C31AF2" w14:textId="77777777" w:rsidR="00C11BD5" w:rsidRPr="003D7F07" w:rsidRDefault="00C11BD5" w:rsidP="00E31FF2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bookmarkStart w:id="4" w:name="_GoBack"/>
            <w:bookmarkEnd w:id="4"/>
            <w:r w:rsidRPr="003D7F07">
              <w:rPr>
                <w:rFonts w:ascii="Georgia" w:hAnsi="Georgia" w:cs="Georgia"/>
                <w:b/>
                <w:sz w:val="14"/>
                <w:szCs w:val="14"/>
              </w:rPr>
              <w:t xml:space="preserve">Art. 12, comma </w:t>
            </w:r>
            <w:proofErr w:type="gramStart"/>
            <w:r w:rsidRPr="003D7F07">
              <w:rPr>
                <w:rFonts w:ascii="Georgia" w:hAnsi="Georgia" w:cs="Georgia"/>
                <w:b/>
                <w:sz w:val="14"/>
                <w:szCs w:val="14"/>
              </w:rPr>
              <w:t>3</w:t>
            </w:r>
            <w:proofErr w:type="gramEnd"/>
          </w:p>
          <w:p w14:paraId="01ED7AA1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3.</w:t>
            </w:r>
            <w:proofErr w:type="gramStart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 xml:space="preserve">  </w:t>
            </w:r>
            <w:proofErr w:type="gramEnd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>Gli incarichi dirigenziali, interni e esterni, nelle pubbliche amministrazioni, negli enti pubblici e negli enti di diritto privato in controllo pubblico di livello regionale sono incompatibili:</w:t>
            </w:r>
          </w:p>
          <w:p w14:paraId="0E861542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a)  con la carica di componente della giunta o del consiglio della regione interessata;</w:t>
            </w:r>
          </w:p>
          <w:p w14:paraId="48EA433E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b)  con la carica di componente della giunta o del consiglio di una provincia, di un comune con popolazione superiore ai 15.000 abitanti o di una forma associativa tra comuni avente la medesima popolazione della medesima regione;</w:t>
            </w:r>
          </w:p>
          <w:p w14:paraId="5E229031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c)  con la carica di presidente e amministratore delegato di enti di diritto privato in controllo pubblico da parte della regione.</w:t>
            </w:r>
          </w:p>
        </w:tc>
      </w:tr>
    </w:tbl>
    <w:p w14:paraId="74FA30B8" w14:textId="77777777" w:rsidR="00C11BD5" w:rsidRPr="00B20997" w:rsidRDefault="00C11BD5" w:rsidP="00C11BD5">
      <w:pPr>
        <w:spacing w:before="0" w:after="0"/>
        <w:rPr>
          <w:sz w:val="20"/>
          <w:szCs w:val="20"/>
        </w:rPr>
      </w:pPr>
    </w:p>
    <w:sectPr w:rsidR="00C11BD5" w:rsidRPr="00B20997" w:rsidSect="00C11BD5">
      <w:headerReference w:type="default" r:id="rId10"/>
      <w:footerReference w:type="default" r:id="rId11"/>
      <w:pgSz w:w="11906" w:h="16838"/>
      <w:pgMar w:top="2268" w:right="1134" w:bottom="397" w:left="1077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E948D" w14:textId="77777777" w:rsidR="002F7CBF" w:rsidRDefault="002F7CBF" w:rsidP="00180439">
      <w:r>
        <w:separator/>
      </w:r>
    </w:p>
  </w:endnote>
  <w:endnote w:type="continuationSeparator" w:id="0">
    <w:p w14:paraId="00856F1C" w14:textId="77777777" w:rsidR="002F7CBF" w:rsidRDefault="002F7CBF" w:rsidP="001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quare721 BT;Tahom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7EF78" w14:textId="300BA0BE" w:rsidR="00421C4D" w:rsidRPr="00C11BD5" w:rsidRDefault="00421C4D" w:rsidP="00C11BD5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000000" w:themeColor="text1"/>
        <w:kern w:val="0"/>
        <w:sz w:val="18"/>
        <w:szCs w:val="18"/>
        <w:lang w:eastAsia="en-US"/>
      </w:rPr>
    </w:pPr>
    <w:r w:rsidRPr="00421C4D">
      <w:rPr>
        <w:rFonts w:eastAsiaTheme="minorHAnsi"/>
        <w:color w:val="auto"/>
        <w:kern w:val="0"/>
        <w:sz w:val="18"/>
        <w:szCs w:val="18"/>
        <w:lang w:eastAsia="en-US"/>
      </w:rPr>
      <w:t xml:space="preserve">Corso Porta Nuova 96 – 37122 </w:t>
    </w:r>
    <w:r w:rsidRPr="00421C4D">
      <w:rPr>
        <w:rFonts w:eastAsiaTheme="minorHAnsi"/>
        <w:smallCaps/>
        <w:color w:val="auto"/>
        <w:kern w:val="0"/>
        <w:sz w:val="18"/>
        <w:szCs w:val="18"/>
        <w:lang w:eastAsia="en-US"/>
      </w:rPr>
      <w:t>VERONA</w:t>
    </w:r>
    <w:r w:rsidRPr="00421C4D">
      <w:rPr>
        <w:rFonts w:eastAsiaTheme="minorHAnsi"/>
        <w:b/>
        <w:bCs/>
        <w:smallCaps/>
        <w:color w:val="auto"/>
        <w:kern w:val="0"/>
        <w:sz w:val="18"/>
        <w:szCs w:val="18"/>
        <w:lang w:eastAsia="en-US"/>
      </w:rPr>
      <w:t xml:space="preserve"> </w:t>
    </w:r>
    <w:r w:rsidRPr="00421C4D">
      <w:rPr>
        <w:rFonts w:eastAsiaTheme="minorHAnsi"/>
        <w:smallCaps/>
        <w:color w:val="auto"/>
        <w:kern w:val="0"/>
        <w:sz w:val="18"/>
        <w:szCs w:val="18"/>
        <w:lang w:eastAsia="en-US"/>
      </w:rPr>
      <w:t xml:space="preserve"> +39 </w:t>
    </w:r>
    <w:r w:rsidRPr="00421C4D">
      <w:rPr>
        <w:rFonts w:eastAsiaTheme="minorHAnsi"/>
        <w:color w:val="auto"/>
        <w:kern w:val="0"/>
        <w:sz w:val="18"/>
        <w:szCs w:val="18"/>
        <w:lang w:eastAsia="en-US"/>
      </w:rPr>
      <w:t xml:space="preserve">3517209969  </w:t>
    </w:r>
    <w:hyperlink r:id="rId1" w:history="1">
      <w:r w:rsidR="00C11BD5" w:rsidRPr="00C11BD5">
        <w:rPr>
          <w:rStyle w:val="Collegamentoipertestuale"/>
          <w:color w:val="000000" w:themeColor="text1"/>
          <w:sz w:val="18"/>
          <w:szCs w:val="18"/>
          <w:u w:val="none"/>
        </w:rPr>
        <w:t>info.verona@fodafvenetoit</w:t>
      </w:r>
    </w:hyperlink>
    <w:r w:rsidRPr="00421C4D">
      <w:rPr>
        <w:rFonts w:eastAsiaTheme="minorHAnsi"/>
        <w:color w:val="auto"/>
        <w:kern w:val="0"/>
        <w:sz w:val="18"/>
        <w:szCs w:val="18"/>
        <w:lang w:eastAsia="en-US"/>
      </w:rPr>
      <w:t>;</w:t>
    </w:r>
    <w:r w:rsidR="00C11BD5">
      <w:rPr>
        <w:rFonts w:eastAsiaTheme="minorHAnsi"/>
        <w:color w:val="auto"/>
        <w:kern w:val="0"/>
        <w:sz w:val="18"/>
        <w:szCs w:val="18"/>
        <w:lang w:eastAsia="en-US"/>
      </w:rPr>
      <w:t xml:space="preserve">    </w:t>
    </w:r>
    <w:r w:rsidRPr="00421C4D">
      <w:rPr>
        <w:rFonts w:eastAsiaTheme="minorHAnsi"/>
        <w:b/>
        <w:bCs/>
        <w:color w:val="auto"/>
        <w:kern w:val="0"/>
        <w:sz w:val="18"/>
        <w:szCs w:val="18"/>
        <w:lang w:eastAsia="en-US"/>
      </w:rPr>
      <w:t xml:space="preserve"> </w:t>
    </w:r>
    <w:hyperlink r:id="rId2" w:history="1">
      <w:r w:rsidRPr="00421C4D">
        <w:rPr>
          <w:rStyle w:val="Collegamentoipertestuale"/>
          <w:rFonts w:eastAsiaTheme="minorHAnsi"/>
          <w:color w:val="auto"/>
          <w:kern w:val="0"/>
          <w:sz w:val="18"/>
          <w:szCs w:val="18"/>
          <w:u w:val="none"/>
          <w:lang w:eastAsia="en-US"/>
        </w:rPr>
        <w:t>protocollo.odaf.verona@conafpec.it</w:t>
      </w:r>
    </w:hyperlink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;  </w:t>
    </w:r>
    <w:hyperlink r:id="rId3" w:history="1">
      <w:r w:rsidRPr="00421C4D">
        <w:rPr>
          <w:rStyle w:val="Collegamentoipertestuale"/>
          <w:color w:val="000000" w:themeColor="text1"/>
          <w:sz w:val="18"/>
          <w:szCs w:val="18"/>
          <w:u w:val="none"/>
        </w:rPr>
        <w:t>https://ordineverona.conaf.it/</w:t>
      </w:r>
    </w:hyperlink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   </w:t>
    </w:r>
    <w:hyperlink r:id="rId4" w:history="1"/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CF/P.IVA </w:t>
    </w:r>
    <w:bookmarkStart w:id="5" w:name="_Hlk134450386"/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>80054630233</w:t>
    </w:r>
    <w:bookmarkEnd w:id="5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738D9" w14:textId="77777777" w:rsidR="002F7CBF" w:rsidRDefault="002F7CBF" w:rsidP="00180439">
      <w:r>
        <w:separator/>
      </w:r>
    </w:p>
  </w:footnote>
  <w:footnote w:type="continuationSeparator" w:id="0">
    <w:p w14:paraId="30636E8B" w14:textId="77777777" w:rsidR="002F7CBF" w:rsidRDefault="002F7CBF" w:rsidP="001804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B3F10" w14:textId="0F188A36" w:rsidR="00421C4D" w:rsidRDefault="00421C4D" w:rsidP="006E45E9">
    <w:pPr>
      <w:pStyle w:val="Rigadintestazione"/>
      <w:jc w:val="center"/>
      <w:rPr>
        <w:rFonts w:ascii="Calibri" w:hAnsi="Calibri" w:cs="Calibri"/>
        <w:b/>
        <w:bCs/>
        <w:i/>
        <w:sz w:val="22"/>
        <w:szCs w:val="22"/>
      </w:rPr>
    </w:pPr>
    <w:r>
      <w:rPr>
        <w:rFonts w:ascii="Calibri" w:hAnsi="Calibri" w:cs="Calibri"/>
        <w:b/>
        <w:bCs/>
        <w:i/>
        <w:noProof/>
        <w:sz w:val="22"/>
        <w:szCs w:val="22"/>
        <w:lang w:eastAsia="it-IT"/>
      </w:rPr>
      <w:drawing>
        <wp:inline distT="0" distB="0" distL="0" distR="0" wp14:anchorId="3B9628EA" wp14:editId="18644705">
          <wp:extent cx="1824990" cy="943452"/>
          <wp:effectExtent l="0" t="0" r="3810" b="0"/>
          <wp:docPr id="51077391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73915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164" cy="943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E8C"/>
    <w:multiLevelType w:val="hybridMultilevel"/>
    <w:tmpl w:val="FD125D8C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129EF"/>
    <w:multiLevelType w:val="hybridMultilevel"/>
    <w:tmpl w:val="1F14B6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74A30"/>
    <w:multiLevelType w:val="multilevel"/>
    <w:tmpl w:val="8FBA6BFC"/>
    <w:lvl w:ilvl="0">
      <w:start w:val="2"/>
      <w:numFmt w:val="upperLetter"/>
      <w:lvlText w:val="%1."/>
      <w:lvlJc w:val="left"/>
      <w:pPr>
        <w:ind w:left="720" w:hanging="360"/>
      </w:pPr>
      <w:rPr>
        <w:b/>
        <w:i w:val="0"/>
        <w:color w:val="215868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17365"/>
    <w:multiLevelType w:val="hybridMultilevel"/>
    <w:tmpl w:val="7730EE16"/>
    <w:lvl w:ilvl="0" w:tplc="E708C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6FFC"/>
    <w:multiLevelType w:val="hybridMultilevel"/>
    <w:tmpl w:val="597C4A04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927B3"/>
    <w:multiLevelType w:val="hybridMultilevel"/>
    <w:tmpl w:val="588A2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B7D90"/>
    <w:multiLevelType w:val="hybridMultilevel"/>
    <w:tmpl w:val="C63A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02B59"/>
    <w:multiLevelType w:val="multilevel"/>
    <w:tmpl w:val="865E296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/>
        <w:i w:val="0"/>
        <w:color w:val="990000"/>
        <w:sz w:val="22"/>
        <w:szCs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6624FE"/>
    <w:multiLevelType w:val="hybridMultilevel"/>
    <w:tmpl w:val="A656A0E2"/>
    <w:lvl w:ilvl="0" w:tplc="3DD81820">
      <w:start w:val="1"/>
      <w:numFmt w:val="decimal"/>
      <w:pStyle w:val="Titolo1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2047F"/>
    <w:multiLevelType w:val="multilevel"/>
    <w:tmpl w:val="583429B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>
    <w:nsid w:val="4EEF6A93"/>
    <w:multiLevelType w:val="hybridMultilevel"/>
    <w:tmpl w:val="4330F4DA"/>
    <w:lvl w:ilvl="0" w:tplc="25603C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A09EC"/>
    <w:multiLevelType w:val="hybridMultilevel"/>
    <w:tmpl w:val="9A589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7211B"/>
    <w:multiLevelType w:val="hybridMultilevel"/>
    <w:tmpl w:val="5C2A3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F0CFA"/>
    <w:multiLevelType w:val="hybridMultilevel"/>
    <w:tmpl w:val="2C424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A415E"/>
    <w:multiLevelType w:val="hybridMultilevel"/>
    <w:tmpl w:val="BA0E636E"/>
    <w:lvl w:ilvl="0" w:tplc="E708CF00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001F7B"/>
    <w:multiLevelType w:val="multilevel"/>
    <w:tmpl w:val="B2B6A630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color w:val="215868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7401F0"/>
    <w:multiLevelType w:val="multilevel"/>
    <w:tmpl w:val="18DADB3E"/>
    <w:lvl w:ilvl="0">
      <w:start w:val="2"/>
      <w:numFmt w:val="upperLetter"/>
      <w:lvlText w:val="%1."/>
      <w:lvlJc w:val="left"/>
      <w:pPr>
        <w:ind w:left="720" w:hanging="360"/>
      </w:pPr>
      <w:rPr>
        <w:b/>
        <w:i w:val="0"/>
        <w:color w:val="215868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590DAF"/>
    <w:multiLevelType w:val="multilevel"/>
    <w:tmpl w:val="4FCE1034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color w:val="215868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653EC3"/>
    <w:multiLevelType w:val="multilevel"/>
    <w:tmpl w:val="FF7AA62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b/>
        <w:i w:val="0"/>
        <w:color w:val="00000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8"/>
  </w:num>
  <w:num w:numId="13">
    <w:abstractNumId w:val="13"/>
  </w:num>
  <w:num w:numId="14">
    <w:abstractNumId w:val="12"/>
  </w:num>
  <w:num w:numId="15">
    <w:abstractNumId w:val="8"/>
    <w:lvlOverride w:ilvl="0">
      <w:startOverride w:val="1"/>
    </w:lvlOverride>
  </w:num>
  <w:num w:numId="16">
    <w:abstractNumId w:val="18"/>
  </w:num>
  <w:num w:numId="17">
    <w:abstractNumId w:val="15"/>
  </w:num>
  <w:num w:numId="18">
    <w:abstractNumId w:val="2"/>
  </w:num>
  <w:num w:numId="19">
    <w:abstractNumId w:val="16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D2"/>
    <w:rsid w:val="00002323"/>
    <w:rsid w:val="00002CA1"/>
    <w:rsid w:val="000037E0"/>
    <w:rsid w:val="000063D1"/>
    <w:rsid w:val="00010324"/>
    <w:rsid w:val="00027029"/>
    <w:rsid w:val="00031EAC"/>
    <w:rsid w:val="00034BC4"/>
    <w:rsid w:val="00036636"/>
    <w:rsid w:val="00040C32"/>
    <w:rsid w:val="00042E59"/>
    <w:rsid w:val="000450D5"/>
    <w:rsid w:val="00056D2D"/>
    <w:rsid w:val="00066824"/>
    <w:rsid w:val="0007590F"/>
    <w:rsid w:val="000776E0"/>
    <w:rsid w:val="000805F3"/>
    <w:rsid w:val="00092DB0"/>
    <w:rsid w:val="000A02FC"/>
    <w:rsid w:val="000A55B8"/>
    <w:rsid w:val="000B7F18"/>
    <w:rsid w:val="000D04D8"/>
    <w:rsid w:val="000E57B5"/>
    <w:rsid w:val="000F227A"/>
    <w:rsid w:val="00102304"/>
    <w:rsid w:val="001023FE"/>
    <w:rsid w:val="00103CD6"/>
    <w:rsid w:val="00107463"/>
    <w:rsid w:val="001146EB"/>
    <w:rsid w:val="00123A23"/>
    <w:rsid w:val="00124317"/>
    <w:rsid w:val="001316BF"/>
    <w:rsid w:val="00142B0F"/>
    <w:rsid w:val="00145B71"/>
    <w:rsid w:val="001472FE"/>
    <w:rsid w:val="00150EC5"/>
    <w:rsid w:val="00152B1D"/>
    <w:rsid w:val="00156E2E"/>
    <w:rsid w:val="001574DA"/>
    <w:rsid w:val="001707DA"/>
    <w:rsid w:val="00177B16"/>
    <w:rsid w:val="00180439"/>
    <w:rsid w:val="0018683F"/>
    <w:rsid w:val="00191AC0"/>
    <w:rsid w:val="00197F27"/>
    <w:rsid w:val="001A0230"/>
    <w:rsid w:val="001C6F94"/>
    <w:rsid w:val="001D6BC5"/>
    <w:rsid w:val="0020004A"/>
    <w:rsid w:val="00201174"/>
    <w:rsid w:val="0021365C"/>
    <w:rsid w:val="002318E6"/>
    <w:rsid w:val="00231C0E"/>
    <w:rsid w:val="00247811"/>
    <w:rsid w:val="0026000F"/>
    <w:rsid w:val="00271494"/>
    <w:rsid w:val="0027185F"/>
    <w:rsid w:val="00284D7C"/>
    <w:rsid w:val="002879BC"/>
    <w:rsid w:val="00290569"/>
    <w:rsid w:val="00294B61"/>
    <w:rsid w:val="00297017"/>
    <w:rsid w:val="002B30BC"/>
    <w:rsid w:val="002B7E39"/>
    <w:rsid w:val="002C0CF3"/>
    <w:rsid w:val="002C5ECB"/>
    <w:rsid w:val="002C6202"/>
    <w:rsid w:val="002D11D8"/>
    <w:rsid w:val="002D1A0E"/>
    <w:rsid w:val="002D796E"/>
    <w:rsid w:val="002E16B6"/>
    <w:rsid w:val="002F7CBF"/>
    <w:rsid w:val="00311022"/>
    <w:rsid w:val="00322564"/>
    <w:rsid w:val="0033035E"/>
    <w:rsid w:val="0033448D"/>
    <w:rsid w:val="00335E9E"/>
    <w:rsid w:val="00336296"/>
    <w:rsid w:val="00350954"/>
    <w:rsid w:val="00352769"/>
    <w:rsid w:val="0037143B"/>
    <w:rsid w:val="00376483"/>
    <w:rsid w:val="00377390"/>
    <w:rsid w:val="00394682"/>
    <w:rsid w:val="003A47D6"/>
    <w:rsid w:val="003B776A"/>
    <w:rsid w:val="003C60D4"/>
    <w:rsid w:val="003D249D"/>
    <w:rsid w:val="003D4A05"/>
    <w:rsid w:val="003D4A61"/>
    <w:rsid w:val="003E12D1"/>
    <w:rsid w:val="003E43DA"/>
    <w:rsid w:val="003F3D79"/>
    <w:rsid w:val="003F785B"/>
    <w:rsid w:val="00421C4D"/>
    <w:rsid w:val="00423000"/>
    <w:rsid w:val="0043754C"/>
    <w:rsid w:val="00441D43"/>
    <w:rsid w:val="004474A7"/>
    <w:rsid w:val="00457296"/>
    <w:rsid w:val="004622B5"/>
    <w:rsid w:val="004674FA"/>
    <w:rsid w:val="0049127A"/>
    <w:rsid w:val="004A4034"/>
    <w:rsid w:val="004A7C84"/>
    <w:rsid w:val="004B7F0E"/>
    <w:rsid w:val="004C4B39"/>
    <w:rsid w:val="004C560E"/>
    <w:rsid w:val="004E61EB"/>
    <w:rsid w:val="004E663E"/>
    <w:rsid w:val="004E6BCD"/>
    <w:rsid w:val="00500389"/>
    <w:rsid w:val="00500A49"/>
    <w:rsid w:val="005026F0"/>
    <w:rsid w:val="005121BD"/>
    <w:rsid w:val="00520CCE"/>
    <w:rsid w:val="00522753"/>
    <w:rsid w:val="00522A4A"/>
    <w:rsid w:val="0053581C"/>
    <w:rsid w:val="00546091"/>
    <w:rsid w:val="00547FDD"/>
    <w:rsid w:val="00554E08"/>
    <w:rsid w:val="00562A8C"/>
    <w:rsid w:val="00565C08"/>
    <w:rsid w:val="0057065C"/>
    <w:rsid w:val="005750A3"/>
    <w:rsid w:val="00580E32"/>
    <w:rsid w:val="005A00EF"/>
    <w:rsid w:val="005A388B"/>
    <w:rsid w:val="005A76D2"/>
    <w:rsid w:val="005B14AB"/>
    <w:rsid w:val="005B69F1"/>
    <w:rsid w:val="005C07C5"/>
    <w:rsid w:val="005C2F94"/>
    <w:rsid w:val="005C40C0"/>
    <w:rsid w:val="005C76C8"/>
    <w:rsid w:val="005D2334"/>
    <w:rsid w:val="005F3764"/>
    <w:rsid w:val="00601F4C"/>
    <w:rsid w:val="0062231F"/>
    <w:rsid w:val="00625308"/>
    <w:rsid w:val="00625AFE"/>
    <w:rsid w:val="00627BE7"/>
    <w:rsid w:val="00643F90"/>
    <w:rsid w:val="006676C2"/>
    <w:rsid w:val="00670B1F"/>
    <w:rsid w:val="00675800"/>
    <w:rsid w:val="00676D0E"/>
    <w:rsid w:val="0068083C"/>
    <w:rsid w:val="006A2695"/>
    <w:rsid w:val="006B127F"/>
    <w:rsid w:val="006B3F9C"/>
    <w:rsid w:val="006B4484"/>
    <w:rsid w:val="006C7DB8"/>
    <w:rsid w:val="006D6356"/>
    <w:rsid w:val="006D6EC0"/>
    <w:rsid w:val="006D7963"/>
    <w:rsid w:val="006E45E9"/>
    <w:rsid w:val="006E6513"/>
    <w:rsid w:val="006F002E"/>
    <w:rsid w:val="006F4AA7"/>
    <w:rsid w:val="0070553D"/>
    <w:rsid w:val="007055F4"/>
    <w:rsid w:val="0071092C"/>
    <w:rsid w:val="007533F1"/>
    <w:rsid w:val="00755433"/>
    <w:rsid w:val="00776B19"/>
    <w:rsid w:val="0079752C"/>
    <w:rsid w:val="007A757A"/>
    <w:rsid w:val="007C4AB1"/>
    <w:rsid w:val="007D467C"/>
    <w:rsid w:val="007D6F9D"/>
    <w:rsid w:val="007E73D0"/>
    <w:rsid w:val="007F59F9"/>
    <w:rsid w:val="00811DBA"/>
    <w:rsid w:val="00820B93"/>
    <w:rsid w:val="0082212C"/>
    <w:rsid w:val="00833A43"/>
    <w:rsid w:val="00833D29"/>
    <w:rsid w:val="00845225"/>
    <w:rsid w:val="008619DF"/>
    <w:rsid w:val="008716E9"/>
    <w:rsid w:val="0088006D"/>
    <w:rsid w:val="0088433E"/>
    <w:rsid w:val="00887742"/>
    <w:rsid w:val="008920ED"/>
    <w:rsid w:val="008928DC"/>
    <w:rsid w:val="00896DBD"/>
    <w:rsid w:val="008A0BC4"/>
    <w:rsid w:val="008B55CD"/>
    <w:rsid w:val="008C4FC2"/>
    <w:rsid w:val="008D06CB"/>
    <w:rsid w:val="008D1FBF"/>
    <w:rsid w:val="008D55A2"/>
    <w:rsid w:val="008F3B7E"/>
    <w:rsid w:val="00911E8B"/>
    <w:rsid w:val="009179D0"/>
    <w:rsid w:val="0092068B"/>
    <w:rsid w:val="00924762"/>
    <w:rsid w:val="00924E35"/>
    <w:rsid w:val="0092561E"/>
    <w:rsid w:val="00936B8A"/>
    <w:rsid w:val="00943C4B"/>
    <w:rsid w:val="00961292"/>
    <w:rsid w:val="00961723"/>
    <w:rsid w:val="00963537"/>
    <w:rsid w:val="00964514"/>
    <w:rsid w:val="00971EB8"/>
    <w:rsid w:val="00982B14"/>
    <w:rsid w:val="00992A94"/>
    <w:rsid w:val="009958A2"/>
    <w:rsid w:val="009A4582"/>
    <w:rsid w:val="009B000C"/>
    <w:rsid w:val="009B34CF"/>
    <w:rsid w:val="009B7D48"/>
    <w:rsid w:val="009C1AC0"/>
    <w:rsid w:val="009C2A29"/>
    <w:rsid w:val="009C2B78"/>
    <w:rsid w:val="009D21B8"/>
    <w:rsid w:val="009D5AE3"/>
    <w:rsid w:val="009D74FC"/>
    <w:rsid w:val="009E167B"/>
    <w:rsid w:val="009E3CE2"/>
    <w:rsid w:val="009E67F5"/>
    <w:rsid w:val="009E6BB3"/>
    <w:rsid w:val="009F5407"/>
    <w:rsid w:val="00A029B3"/>
    <w:rsid w:val="00A030EA"/>
    <w:rsid w:val="00A03D83"/>
    <w:rsid w:val="00A478A5"/>
    <w:rsid w:val="00A52950"/>
    <w:rsid w:val="00A56AC2"/>
    <w:rsid w:val="00A64D4D"/>
    <w:rsid w:val="00A656B5"/>
    <w:rsid w:val="00A67F2E"/>
    <w:rsid w:val="00A94559"/>
    <w:rsid w:val="00AA5D0E"/>
    <w:rsid w:val="00AA7C9A"/>
    <w:rsid w:val="00AB7D02"/>
    <w:rsid w:val="00AC19E7"/>
    <w:rsid w:val="00AC5770"/>
    <w:rsid w:val="00AE1BD8"/>
    <w:rsid w:val="00AE55A4"/>
    <w:rsid w:val="00AF0B3B"/>
    <w:rsid w:val="00AF3149"/>
    <w:rsid w:val="00AF392C"/>
    <w:rsid w:val="00B05759"/>
    <w:rsid w:val="00B12CA4"/>
    <w:rsid w:val="00B20997"/>
    <w:rsid w:val="00B25782"/>
    <w:rsid w:val="00B3182F"/>
    <w:rsid w:val="00B3245C"/>
    <w:rsid w:val="00B3631E"/>
    <w:rsid w:val="00B44707"/>
    <w:rsid w:val="00B63AD6"/>
    <w:rsid w:val="00B70A28"/>
    <w:rsid w:val="00B8508E"/>
    <w:rsid w:val="00B971AF"/>
    <w:rsid w:val="00BD2543"/>
    <w:rsid w:val="00BD48C2"/>
    <w:rsid w:val="00BE4458"/>
    <w:rsid w:val="00BE6CDD"/>
    <w:rsid w:val="00BF3F7B"/>
    <w:rsid w:val="00BF41EA"/>
    <w:rsid w:val="00BF5A8D"/>
    <w:rsid w:val="00C11BD5"/>
    <w:rsid w:val="00C1510C"/>
    <w:rsid w:val="00C15A08"/>
    <w:rsid w:val="00C316E0"/>
    <w:rsid w:val="00C31792"/>
    <w:rsid w:val="00C3400A"/>
    <w:rsid w:val="00C41289"/>
    <w:rsid w:val="00C425A4"/>
    <w:rsid w:val="00C5691D"/>
    <w:rsid w:val="00C56C60"/>
    <w:rsid w:val="00C6087D"/>
    <w:rsid w:val="00C6562F"/>
    <w:rsid w:val="00C65E77"/>
    <w:rsid w:val="00C7355E"/>
    <w:rsid w:val="00C8390F"/>
    <w:rsid w:val="00C86611"/>
    <w:rsid w:val="00C93371"/>
    <w:rsid w:val="00C93676"/>
    <w:rsid w:val="00CC2419"/>
    <w:rsid w:val="00CF747F"/>
    <w:rsid w:val="00D03C09"/>
    <w:rsid w:val="00D219B2"/>
    <w:rsid w:val="00D22731"/>
    <w:rsid w:val="00D472A3"/>
    <w:rsid w:val="00D6568C"/>
    <w:rsid w:val="00D65931"/>
    <w:rsid w:val="00D70434"/>
    <w:rsid w:val="00D71152"/>
    <w:rsid w:val="00D77C74"/>
    <w:rsid w:val="00D80D5F"/>
    <w:rsid w:val="00D9165D"/>
    <w:rsid w:val="00D93EA3"/>
    <w:rsid w:val="00D9454A"/>
    <w:rsid w:val="00D95D59"/>
    <w:rsid w:val="00D96D2E"/>
    <w:rsid w:val="00DA48F6"/>
    <w:rsid w:val="00DB7CFF"/>
    <w:rsid w:val="00DC00C7"/>
    <w:rsid w:val="00DD336E"/>
    <w:rsid w:val="00DF03DF"/>
    <w:rsid w:val="00DF2863"/>
    <w:rsid w:val="00E15B33"/>
    <w:rsid w:val="00E21EF0"/>
    <w:rsid w:val="00E27AE7"/>
    <w:rsid w:val="00E31FF2"/>
    <w:rsid w:val="00E419F1"/>
    <w:rsid w:val="00E42B96"/>
    <w:rsid w:val="00E46591"/>
    <w:rsid w:val="00E47CAC"/>
    <w:rsid w:val="00E47F28"/>
    <w:rsid w:val="00E51364"/>
    <w:rsid w:val="00E71B0D"/>
    <w:rsid w:val="00E7434A"/>
    <w:rsid w:val="00E77563"/>
    <w:rsid w:val="00E96DE7"/>
    <w:rsid w:val="00EA0920"/>
    <w:rsid w:val="00EC4E0A"/>
    <w:rsid w:val="00ED20C8"/>
    <w:rsid w:val="00EF0793"/>
    <w:rsid w:val="00EF43AB"/>
    <w:rsid w:val="00F006BE"/>
    <w:rsid w:val="00F0603A"/>
    <w:rsid w:val="00F24834"/>
    <w:rsid w:val="00F27F68"/>
    <w:rsid w:val="00F35E5B"/>
    <w:rsid w:val="00F64366"/>
    <w:rsid w:val="00F64A1E"/>
    <w:rsid w:val="00F82F02"/>
    <w:rsid w:val="00F85338"/>
    <w:rsid w:val="00F91394"/>
    <w:rsid w:val="00F973C5"/>
    <w:rsid w:val="00F979B3"/>
    <w:rsid w:val="00FA4250"/>
    <w:rsid w:val="00FB19F7"/>
    <w:rsid w:val="00FC4828"/>
    <w:rsid w:val="00FC7732"/>
    <w:rsid w:val="00FD17E8"/>
    <w:rsid w:val="00FD2FD1"/>
    <w:rsid w:val="00FE7918"/>
    <w:rsid w:val="00FF2732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44C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6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rovvnumcomma">
    <w:name w:val="provv_numcomma"/>
    <w:rsid w:val="000805F3"/>
  </w:style>
  <w:style w:type="character" w:customStyle="1" w:styleId="linkneltesto">
    <w:name w:val="link_nel_testo"/>
    <w:rsid w:val="000805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6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rovvnumcomma">
    <w:name w:val="provv_numcomma"/>
    <w:rsid w:val="000805F3"/>
  </w:style>
  <w:style w:type="character" w:customStyle="1" w:styleId="linkneltesto">
    <w:name w:val="link_nel_testo"/>
    <w:rsid w:val="0008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d01.leggiditalia.it/cgi-bin/FulShow?TIPO=5&amp;NOTXT=1&amp;KEY=01LX0000109983ART11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rdineverona.conaf.it/" TargetMode="External"/><Relationship Id="rId4" Type="http://schemas.openxmlformats.org/officeDocument/2006/relationships/hyperlink" Target="mailto:consigliodisciplina.odaf.verona@conafpec.it" TargetMode="External"/><Relationship Id="rId1" Type="http://schemas.openxmlformats.org/officeDocument/2006/relationships/hyperlink" Target="mailto:info.verona@fodafvenetoit" TargetMode="External"/><Relationship Id="rId2" Type="http://schemas.openxmlformats.org/officeDocument/2006/relationships/hyperlink" Target="mailto:protocollo.odaf.verona@conaf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DCEF-3370-2B4D-A0B6-17F0A53E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1012</Words>
  <Characters>5770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Vicenza,</vt:lpstr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Vicenza,</dc:title>
  <dc:creator>Gianluca Cometto</dc:creator>
  <cp:lastModifiedBy>Luigia Pignatti</cp:lastModifiedBy>
  <cp:revision>3</cp:revision>
  <cp:lastPrinted>1995-11-21T17:41:00Z</cp:lastPrinted>
  <dcterms:created xsi:type="dcterms:W3CDTF">2026-01-23T14:41:00Z</dcterms:created>
  <dcterms:modified xsi:type="dcterms:W3CDTF">2026-01-23T20:27:00Z</dcterms:modified>
</cp:coreProperties>
</file>